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 w:line="362" w:lineRule="auto"/>
        <w:ind w:right="397" w:hanging="6"/>
        <w:rPr>
          <w:color w:val="000000" w:themeColor="text1" w:themeShade="80"/>
        </w:rPr>
      </w:pPr>
      <w:r>
        <w:rPr>
          <w:color w:val="000000" w:themeColor="text1" w:themeShade="80"/>
        </w:rPr>
        <w:t>Сведения о качестве реализации дополнительной общеобразовательной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общеразвивающей программы социально-педагогической</w:t>
      </w:r>
      <w:r>
        <w:rPr>
          <w:rFonts w:hint="default"/>
          <w:color w:val="000000" w:themeColor="text1" w:themeShade="80"/>
          <w:lang w:val="ru-RU"/>
        </w:rPr>
        <w:t>/социально-гуманитарной</w:t>
      </w:r>
      <w:r>
        <w:rPr>
          <w:color w:val="000000" w:themeColor="text1" w:themeShade="80"/>
        </w:rPr>
        <w:t xml:space="preserve"> направленности</w:t>
      </w:r>
      <w:r>
        <w:rPr>
          <w:color w:val="000000" w:themeColor="text1" w:themeShade="80"/>
          <w:spacing w:val="2"/>
        </w:rPr>
        <w:t xml:space="preserve"> </w:t>
      </w:r>
      <w:r>
        <w:rPr>
          <w:color w:val="000000" w:themeColor="text1" w:themeShade="80"/>
        </w:rPr>
        <w:t>«</w:t>
      </w:r>
      <w:r>
        <w:rPr>
          <w:color w:val="000000" w:themeColor="text1" w:themeShade="80"/>
          <w:lang w:val="ru-RU"/>
        </w:rPr>
        <w:t>Юнармия</w:t>
      </w:r>
      <w:r>
        <w:rPr>
          <w:color w:val="000000" w:themeColor="text1" w:themeShade="80"/>
        </w:rPr>
        <w:t>».</w:t>
      </w:r>
    </w:p>
    <w:p>
      <w:pPr>
        <w:pStyle w:val="5"/>
        <w:spacing w:before="8"/>
        <w:rPr>
          <w:b/>
          <w:color w:val="000000" w:themeColor="text1" w:themeShade="80"/>
          <w:sz w:val="34"/>
        </w:rPr>
      </w:pPr>
    </w:p>
    <w:p>
      <w:pPr>
        <w:pStyle w:val="5"/>
        <w:spacing w:line="362" w:lineRule="auto"/>
        <w:ind w:left="257" w:right="0" w:rightChars="0" w:firstLine="917"/>
        <w:jc w:val="both"/>
        <w:rPr>
          <w:color w:val="auto"/>
        </w:rPr>
      </w:pPr>
      <w:r>
        <w:rPr>
          <w:color w:val="000000" w:themeColor="text1" w:themeShade="80"/>
        </w:rPr>
        <w:t>Результативность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реализации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дополнительной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общеобразовательной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общеразвивающей программы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социально-педагогической</w:t>
      </w:r>
      <w:r>
        <w:rPr>
          <w:rFonts w:hint="default"/>
          <w:color w:val="000000" w:themeColor="text1" w:themeShade="80"/>
          <w:lang w:val="ru-RU"/>
        </w:rPr>
        <w:t>/социально-гуманитарной</w:t>
      </w:r>
      <w:r>
        <w:rPr>
          <w:color w:val="000000" w:themeColor="text1" w:themeShade="80"/>
        </w:rPr>
        <w:t xml:space="preserve"> направленности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  <w:spacing w:val="6"/>
        </w:rPr>
        <w:t xml:space="preserve"> </w:t>
      </w:r>
      <w:r>
        <w:rPr>
          <w:color w:val="auto"/>
        </w:rPr>
        <w:t>«</w:t>
      </w:r>
      <w:r>
        <w:rPr>
          <w:color w:val="auto"/>
          <w:lang w:val="ru-RU"/>
        </w:rPr>
        <w:t>Юнармия</w:t>
      </w:r>
      <w:r>
        <w:rPr>
          <w:color w:val="auto"/>
        </w:rPr>
        <w:t>».</w:t>
      </w:r>
    </w:p>
    <w:p>
      <w:pPr>
        <w:rPr>
          <w:color w:val="000000" w:themeColor="text1" w:themeShade="80"/>
        </w:rPr>
      </w:pPr>
    </w:p>
    <w:p>
      <w:pPr>
        <w:rPr>
          <w:color w:val="000000" w:themeColor="text1" w:themeShade="80"/>
        </w:rPr>
      </w:pPr>
    </w:p>
    <w:p>
      <w:pPr>
        <w:jc w:val="center"/>
        <w:rPr>
          <w:color w:val="000000" w:themeColor="text1" w:themeShade="80"/>
        </w:rPr>
      </w:pPr>
      <w:r>
        <w:rPr>
          <w:color w:val="000000" w:themeColor="text1" w:themeShade="80"/>
        </w:rPr>
        <w:drawing>
          <wp:inline distT="0" distB="0" distL="114300" distR="114300">
            <wp:extent cx="4803775" cy="2372360"/>
            <wp:effectExtent l="4445" t="508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color w:val="000000" w:themeColor="text1" w:themeShade="8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>Вывод: по данным педагогической диагностики выявлены высокие</w:t>
      </w:r>
      <w:r>
        <w:rPr>
          <w:rFonts w:hint="default" w:ascii="Times New Roman" w:hAnsi="Times New Roman" w:cs="Times New Roman"/>
          <w:color w:val="000000" w:themeColor="text1" w:themeShade="80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>показатели</w:t>
      </w:r>
      <w:r>
        <w:rPr>
          <w:rFonts w:hint="default" w:ascii="Times New Roman" w:hAnsi="Times New Roman" w:cs="Times New Roman"/>
          <w:color w:val="000000" w:themeColor="text1" w:themeShade="80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 w:themeShade="80"/>
          <w:sz w:val="28"/>
          <w:szCs w:val="28"/>
        </w:rPr>
        <w:t xml:space="preserve">доли обучающихся с высоким уровнем освоения программы и ежегодно увеличивается. Отсутствует доля с низким уровнем освоения программы. </w:t>
      </w:r>
    </w:p>
    <w:p>
      <w:pPr>
        <w:rPr>
          <w:color w:val="000000" w:themeColor="text1" w:themeShade="80"/>
        </w:rPr>
      </w:pPr>
    </w:p>
    <w:p>
      <w:pPr>
        <w:pStyle w:val="2"/>
        <w:spacing w:before="0"/>
        <w:ind w:left="0" w:leftChars="0" w:right="0" w:rightChars="0" w:firstLine="420" w:firstLineChars="0"/>
        <w:jc w:val="both"/>
        <w:rPr>
          <w:b w:val="0"/>
          <w:bCs w:val="0"/>
          <w:i/>
          <w:iCs/>
          <w:color w:val="000000" w:themeColor="text1" w:themeShade="80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ru-RU" w:eastAsia="zh-CN" w:bidi="ar"/>
        </w:rPr>
        <w:t xml:space="preserve">За период с 2019 по 2021 год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обучающи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ся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ru-RU" w:eastAsia="zh-CN" w:bidi="ar"/>
        </w:rPr>
        <w:t xml:space="preserve"> по программе “Юнармия” в количестве 21 чел.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eastAsia="zh-CN" w:bidi="ar"/>
        </w:rPr>
        <w:t>получ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ru-RU" w:eastAsia="zh-CN" w:bidi="ar"/>
        </w:rPr>
        <w:t>или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eastAsia="zh-CN" w:bidi="ar"/>
        </w:rPr>
        <w:t>высокую награду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ru-RU" w:eastAsia="zh-CN" w:bidi="ar"/>
        </w:rPr>
        <w:t xml:space="preserve"> - знак отличия “Юнармейская доблесть” 1, 2 и 3 степени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.</w:t>
      </w:r>
    </w:p>
    <w:p>
      <w:pPr>
        <w:pStyle w:val="2"/>
        <w:spacing w:before="0"/>
        <w:ind w:left="1629" w:right="1738"/>
        <w:rPr>
          <w:color w:val="000000" w:themeColor="text1" w:themeShade="80"/>
        </w:rPr>
      </w:pPr>
    </w:p>
    <w:p>
      <w:pPr>
        <w:pStyle w:val="2"/>
        <w:spacing w:before="0"/>
        <w:ind w:left="1629" w:right="1738"/>
        <w:rPr>
          <w:color w:val="000000" w:themeColor="text1" w:themeShade="80"/>
        </w:rPr>
      </w:pPr>
      <w:r>
        <w:rPr>
          <w:color w:val="000000" w:themeColor="text1" w:themeShade="80"/>
        </w:rPr>
        <w:t>Сохранность</w:t>
      </w:r>
      <w:r>
        <w:rPr>
          <w:color w:val="000000" w:themeColor="text1" w:themeShade="80"/>
          <w:spacing w:val="-9"/>
        </w:rPr>
        <w:t xml:space="preserve"> </w:t>
      </w:r>
      <w:r>
        <w:rPr>
          <w:color w:val="000000" w:themeColor="text1" w:themeShade="80"/>
        </w:rPr>
        <w:t>контингента.</w:t>
      </w:r>
    </w:p>
    <w:p>
      <w:pPr>
        <w:pStyle w:val="5"/>
        <w:spacing w:before="4"/>
        <w:rPr>
          <w:b/>
          <w:color w:val="000000" w:themeColor="text1" w:themeShade="80"/>
          <w:sz w:val="14"/>
        </w:rPr>
      </w:pPr>
    </w:p>
    <w:tbl>
      <w:tblPr>
        <w:tblStyle w:val="4"/>
        <w:tblW w:w="9024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425"/>
        <w:gridCol w:w="1350"/>
        <w:gridCol w:w="1365"/>
        <w:gridCol w:w="1400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39" w:type="dxa"/>
          </w:tcPr>
          <w:p>
            <w:pPr>
              <w:pStyle w:val="10"/>
              <w:ind w:left="0"/>
              <w:jc w:val="center"/>
              <w:rPr>
                <w:color w:val="000000" w:themeColor="text1" w:themeShade="80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10"/>
              <w:spacing w:before="203"/>
              <w:ind w:left="168" w:right="163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2017-2018</w:t>
            </w:r>
          </w:p>
        </w:tc>
        <w:tc>
          <w:tcPr>
            <w:tcW w:w="1350" w:type="dxa"/>
          </w:tcPr>
          <w:p>
            <w:pPr>
              <w:pStyle w:val="10"/>
              <w:numPr>
                <w:ilvl w:val="0"/>
                <w:numId w:val="0"/>
              </w:numPr>
              <w:spacing w:line="273" w:lineRule="exact"/>
              <w:ind w:right="0" w:rightChars="0"/>
              <w:jc w:val="center"/>
              <w:rPr>
                <w:b/>
                <w:color w:val="000000" w:themeColor="text1" w:themeShade="80"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spacing w:line="273" w:lineRule="exact"/>
              <w:ind w:right="0" w:rightChars="0"/>
              <w:jc w:val="center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2018-2019</w:t>
            </w:r>
          </w:p>
        </w:tc>
        <w:tc>
          <w:tcPr>
            <w:tcW w:w="1365" w:type="dxa"/>
          </w:tcPr>
          <w:p>
            <w:pPr>
              <w:pStyle w:val="10"/>
              <w:spacing w:before="203"/>
              <w:ind w:left="139" w:right="134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2019-2020</w:t>
            </w:r>
          </w:p>
        </w:tc>
        <w:tc>
          <w:tcPr>
            <w:tcW w:w="1400" w:type="dxa"/>
          </w:tcPr>
          <w:p>
            <w:pPr>
              <w:pStyle w:val="10"/>
              <w:spacing w:before="203"/>
              <w:ind w:left="139" w:right="134"/>
              <w:rPr>
                <w:rFonts w:hint="default"/>
                <w:b/>
                <w:color w:val="000000" w:themeColor="text1" w:themeShade="80"/>
                <w:sz w:val="24"/>
                <w:lang w:val="ru-RU"/>
              </w:rPr>
            </w:pPr>
            <w:r>
              <w:rPr>
                <w:rFonts w:hint="default"/>
                <w:b/>
                <w:color w:val="000000" w:themeColor="text1" w:themeShade="80"/>
                <w:sz w:val="24"/>
                <w:lang w:val="ru-RU"/>
              </w:rPr>
              <w:t>2020-2021</w:t>
            </w:r>
          </w:p>
        </w:tc>
        <w:tc>
          <w:tcPr>
            <w:tcW w:w="1645" w:type="dxa"/>
          </w:tcPr>
          <w:p>
            <w:pPr>
              <w:pStyle w:val="10"/>
              <w:spacing w:line="273" w:lineRule="exact"/>
              <w:ind w:left="185" w:right="18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Средний</w:t>
            </w:r>
          </w:p>
          <w:p>
            <w:pPr>
              <w:pStyle w:val="10"/>
              <w:spacing w:before="137"/>
              <w:ind w:left="187" w:right="186"/>
              <w:rPr>
                <w:b/>
                <w:color w:val="000000" w:themeColor="text1" w:themeShade="80"/>
                <w:sz w:val="24"/>
              </w:rPr>
            </w:pPr>
            <w:r>
              <w:rPr>
                <w:b/>
                <w:color w:val="000000" w:themeColor="text1" w:themeShade="80"/>
                <w:sz w:val="24"/>
              </w:rPr>
              <w:t>показатель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839" w:type="dxa"/>
          </w:tcPr>
          <w:p>
            <w:pPr>
              <w:pStyle w:val="10"/>
              <w:spacing w:line="268" w:lineRule="exact"/>
              <w:ind w:left="110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Сохранность</w:t>
            </w:r>
            <w:r>
              <w:rPr>
                <w:color w:val="000000" w:themeColor="text1" w:themeShade="80"/>
                <w:spacing w:val="-7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обучающихся</w:t>
            </w:r>
            <w:r>
              <w:rPr>
                <w:color w:val="000000" w:themeColor="text1" w:themeShade="80"/>
                <w:spacing w:val="3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в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5"/>
              <w:jc w:val="left"/>
              <w:textAlignment w:val="auto"/>
              <w:rPr>
                <w:color w:val="000000" w:themeColor="text1" w:themeShade="80"/>
                <w:sz w:val="24"/>
              </w:rPr>
            </w:pPr>
            <w:r>
              <w:rPr>
                <w:color w:val="000000" w:themeColor="text1" w:themeShade="80"/>
                <w:sz w:val="24"/>
              </w:rPr>
              <w:t>объединении</w:t>
            </w:r>
          </w:p>
        </w:tc>
        <w:tc>
          <w:tcPr>
            <w:tcW w:w="1425" w:type="dxa"/>
          </w:tcPr>
          <w:p>
            <w:pPr>
              <w:pStyle w:val="10"/>
              <w:spacing w:before="198"/>
              <w:ind w:left="168" w:right="160"/>
              <w:rPr>
                <w:color w:val="000000" w:themeColor="text1" w:themeShade="80"/>
                <w:sz w:val="24"/>
              </w:rPr>
            </w:pPr>
            <w:r>
              <w:rPr>
                <w:rFonts w:hint="default"/>
                <w:color w:val="000000" w:themeColor="text1" w:themeShade="80"/>
                <w:spacing w:val="2"/>
                <w:sz w:val="24"/>
                <w:lang w:val="ru-RU"/>
              </w:rPr>
              <w:t>98</w:t>
            </w:r>
            <w:r>
              <w:rPr>
                <w:color w:val="000000" w:themeColor="text1" w:themeShade="80"/>
                <w:spacing w:val="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  <w:tc>
          <w:tcPr>
            <w:tcW w:w="1350" w:type="dxa"/>
          </w:tcPr>
          <w:p>
            <w:pPr>
              <w:pStyle w:val="10"/>
              <w:spacing w:before="198"/>
              <w:ind w:left="302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rFonts w:hint="default"/>
                <w:color w:val="000000" w:themeColor="text1" w:themeShade="80"/>
                <w:spacing w:val="2"/>
                <w:sz w:val="24"/>
                <w:lang w:val="ru-RU"/>
              </w:rPr>
              <w:t>98</w:t>
            </w:r>
            <w:r>
              <w:rPr>
                <w:color w:val="000000" w:themeColor="text1" w:themeShade="80"/>
                <w:spacing w:val="2"/>
                <w:sz w:val="24"/>
              </w:rPr>
              <w:t xml:space="preserve"> 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  <w:tc>
          <w:tcPr>
            <w:tcW w:w="1365" w:type="dxa"/>
          </w:tcPr>
          <w:p>
            <w:pPr>
              <w:pStyle w:val="10"/>
              <w:spacing w:before="198"/>
              <w:ind w:left="138" w:right="134"/>
              <w:rPr>
                <w:color w:val="000000" w:themeColor="text1" w:themeShade="80"/>
                <w:sz w:val="24"/>
              </w:rPr>
            </w:pPr>
            <w:r>
              <w:rPr>
                <w:rFonts w:hint="default"/>
                <w:color w:val="000000" w:themeColor="text1" w:themeShade="80"/>
                <w:spacing w:val="2"/>
                <w:sz w:val="24"/>
                <w:lang w:val="ru-RU"/>
              </w:rPr>
              <w:t>99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  <w:tc>
          <w:tcPr>
            <w:tcW w:w="1400" w:type="dxa"/>
          </w:tcPr>
          <w:p>
            <w:pPr>
              <w:pStyle w:val="10"/>
              <w:spacing w:before="198"/>
              <w:ind w:left="138" w:right="134"/>
              <w:rPr>
                <w:rFonts w:hint="default"/>
                <w:color w:val="000000" w:themeColor="text1" w:themeShade="80"/>
                <w:sz w:val="24"/>
                <w:lang w:val="ru-RU"/>
              </w:rPr>
            </w:pPr>
            <w:r>
              <w:rPr>
                <w:rFonts w:hint="default"/>
                <w:color w:val="000000" w:themeColor="text1" w:themeShade="80"/>
                <w:sz w:val="24"/>
                <w:lang w:val="ru-RU"/>
              </w:rPr>
              <w:t>99%</w:t>
            </w:r>
          </w:p>
        </w:tc>
        <w:tc>
          <w:tcPr>
            <w:tcW w:w="1645" w:type="dxa"/>
          </w:tcPr>
          <w:p>
            <w:pPr>
              <w:pStyle w:val="10"/>
              <w:spacing w:before="198"/>
              <w:ind w:left="533"/>
              <w:jc w:val="left"/>
              <w:rPr>
                <w:color w:val="000000" w:themeColor="text1" w:themeShade="80"/>
                <w:sz w:val="24"/>
              </w:rPr>
            </w:pPr>
            <w:r>
              <w:rPr>
                <w:rFonts w:hint="default"/>
                <w:color w:val="000000" w:themeColor="text1" w:themeShade="80"/>
                <w:sz w:val="24"/>
                <w:lang w:val="ru-RU"/>
              </w:rPr>
              <w:t>98,5</w:t>
            </w:r>
            <w:r>
              <w:rPr>
                <w:color w:val="000000" w:themeColor="text1" w:themeShade="80"/>
                <w:sz w:val="24"/>
              </w:rPr>
              <w:t>%</w:t>
            </w:r>
          </w:p>
        </w:tc>
      </w:tr>
    </w:tbl>
    <w:p>
      <w:pPr>
        <w:pStyle w:val="5"/>
        <w:spacing w:before="1"/>
        <w:rPr>
          <w:b/>
          <w:color w:val="000000" w:themeColor="text1" w:themeShade="80"/>
          <w:sz w:val="41"/>
        </w:rPr>
      </w:pPr>
    </w:p>
    <w:p>
      <w:pPr>
        <w:pStyle w:val="5"/>
        <w:tabs>
          <w:tab w:val="left" w:pos="1442"/>
          <w:tab w:val="left" w:pos="3054"/>
          <w:tab w:val="left" w:pos="4876"/>
          <w:tab w:val="left" w:pos="6684"/>
          <w:tab w:val="left" w:pos="8161"/>
          <w:tab w:val="left" w:pos="10046"/>
        </w:tabs>
        <w:spacing w:line="362" w:lineRule="auto"/>
        <w:ind w:left="257" w:right="0" w:rightChars="0"/>
        <w:jc w:val="both"/>
        <w:rPr>
          <w:color w:val="000000" w:themeColor="text1" w:themeShade="80"/>
        </w:rPr>
      </w:pPr>
      <w:r>
        <w:rPr>
          <w:color w:val="000000" w:themeColor="text1" w:themeShade="80"/>
        </w:rPr>
        <w:t>Вывод: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показатель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сохранности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контингента</w:t>
      </w:r>
      <w:r>
        <w:rPr>
          <w:color w:val="000000" w:themeColor="text1" w:themeShade="80"/>
        </w:rPr>
        <w:tab/>
      </w:r>
      <w:r>
        <w:rPr>
          <w:color w:val="000000" w:themeColor="text1" w:themeShade="80"/>
        </w:rPr>
        <w:t>обучающихся в объединени</w:t>
      </w:r>
      <w:r>
        <w:rPr>
          <w:color w:val="000000" w:themeColor="text1" w:themeShade="80"/>
          <w:lang w:val="ru-RU"/>
        </w:rPr>
        <w:t>ях</w:t>
      </w:r>
      <w:r>
        <w:rPr>
          <w:color w:val="000000" w:themeColor="text1" w:themeShade="80"/>
        </w:rPr>
        <w:t xml:space="preserve"> </w:t>
      </w:r>
      <w:r>
        <w:rPr>
          <w:color w:val="000000" w:themeColor="text1" w:themeShade="80"/>
          <w:spacing w:val="-1"/>
        </w:rPr>
        <w:t>в</w:t>
      </w:r>
      <w:r>
        <w:rPr>
          <w:color w:val="000000" w:themeColor="text1" w:themeShade="80"/>
          <w:spacing w:val="-67"/>
        </w:rPr>
        <w:t xml:space="preserve"> </w:t>
      </w:r>
      <w:r>
        <w:rPr>
          <w:color w:val="000000" w:themeColor="text1" w:themeShade="80"/>
        </w:rPr>
        <w:t>рассматриваемый период</w:t>
      </w:r>
      <w:r>
        <w:rPr>
          <w:color w:val="000000" w:themeColor="text1" w:themeShade="80"/>
          <w:spacing w:val="1"/>
        </w:rPr>
        <w:t xml:space="preserve"> </w:t>
      </w:r>
      <w:r>
        <w:rPr>
          <w:color w:val="000000" w:themeColor="text1" w:themeShade="80"/>
        </w:rPr>
        <w:t>достигает</w:t>
      </w:r>
      <w:r>
        <w:rPr>
          <w:color w:val="000000" w:themeColor="text1" w:themeShade="80"/>
          <w:spacing w:val="-1"/>
        </w:rPr>
        <w:t xml:space="preserve"> </w:t>
      </w:r>
      <w:r>
        <w:rPr>
          <w:color w:val="000000" w:themeColor="text1" w:themeShade="80"/>
          <w:lang w:val="ru-RU"/>
        </w:rPr>
        <w:t>высокого</w:t>
      </w:r>
      <w:r>
        <w:rPr>
          <w:rFonts w:hint="default"/>
          <w:color w:val="000000" w:themeColor="text1" w:themeShade="80"/>
          <w:lang w:val="ru-RU"/>
        </w:rPr>
        <w:t xml:space="preserve"> значения</w:t>
      </w:r>
      <w:r>
        <w:rPr>
          <w:color w:val="000000" w:themeColor="text1" w:themeShade="80"/>
        </w:rPr>
        <w:t>.</w:t>
      </w:r>
    </w:p>
    <w:p>
      <w:pPr>
        <w:keepNext w:val="0"/>
        <w:keepLines w:val="0"/>
        <w:widowControl/>
        <w:suppressLineNumbers w:val="0"/>
        <w:ind w:firstLine="420" w:firstLineChars="0"/>
        <w:jc w:val="both"/>
        <w:rPr>
          <w:color w:val="FF0000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2"/>
        <w:ind w:left="2188" w:right="1738"/>
        <w:rPr>
          <w:color w:val="auto"/>
        </w:rPr>
      </w:pPr>
      <w:r>
        <w:rPr>
          <w:color w:val="auto"/>
        </w:rPr>
        <w:t>Участие обучающихся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конкурсах,</w:t>
      </w:r>
      <w:r>
        <w:rPr>
          <w:color w:val="auto"/>
          <w:spacing w:val="3"/>
        </w:rPr>
        <w:t xml:space="preserve"> </w:t>
      </w:r>
      <w:r>
        <w:rPr>
          <w:color w:val="auto"/>
        </w:rPr>
        <w:t>соревнованиях</w:t>
      </w:r>
      <w:r>
        <w:rPr>
          <w:rFonts w:hint="default"/>
          <w:color w:val="auto"/>
          <w:lang w:val="ru-RU"/>
        </w:rPr>
        <w:t>, акциях</w:t>
      </w:r>
      <w:r>
        <w:rPr>
          <w:color w:val="auto"/>
        </w:rPr>
        <w:t>.</w:t>
      </w:r>
    </w:p>
    <w:p>
      <w:pPr>
        <w:rPr>
          <w:color w:val="FF0000"/>
        </w:rPr>
      </w:pPr>
    </w:p>
    <w:tbl>
      <w:tblPr>
        <w:tblStyle w:val="9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860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Год</w:t>
            </w:r>
          </w:p>
        </w:tc>
        <w:tc>
          <w:tcPr>
            <w:tcW w:w="486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Название мероприятия</w:t>
            </w:r>
          </w:p>
        </w:tc>
        <w:tc>
          <w:tcPr>
            <w:tcW w:w="347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Количество участников,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4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2018</w:t>
            </w:r>
          </w:p>
        </w:tc>
        <w:tc>
          <w:tcPr>
            <w:tcW w:w="486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Парад Победы-2018</w:t>
            </w:r>
          </w:p>
        </w:tc>
        <w:tc>
          <w:tcPr>
            <w:tcW w:w="347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ru-RU"/>
              </w:rPr>
              <w:t>36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 xml:space="preserve"> чел.,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highlight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прохождение  парадного расчета в составе войск Тюменского гарнизона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green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Региональная военно-профессиональная выставка в сфере обороны и безопасности государства “Служим Отечеству”</w:t>
            </w:r>
          </w:p>
        </w:tc>
        <w:tc>
          <w:tcPr>
            <w:tcW w:w="34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 чел.,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участники: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- мастер-классы по основным дисциплинам образовательной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green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upermolot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Международная просветительская акция “Геграфический диктант”</w:t>
            </w:r>
          </w:p>
        </w:tc>
        <w:tc>
          <w:tcPr>
            <w:tcW w:w="34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15 чел.,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oto Sans Armenia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Times New Roman" w:hAnsi="Times New Roman" w:eastAsia="Noto Sans Armenia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 xml:space="preserve">Экспедиция ЦПИ 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Русского географического общества</w:t>
            </w:r>
            <w:r>
              <w:rPr>
                <w:rFonts w:hint="default" w:ascii="Times New Roman" w:hAnsi="Times New Roman" w:eastAsia="Noto Sans Armenia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 xml:space="preserve"> и Министерства обороны РФ на о. Гогланд Финского залива</w:t>
            </w:r>
          </w:p>
        </w:tc>
        <w:tc>
          <w:tcPr>
            <w:tcW w:w="34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3 чел.,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2019</w:t>
            </w:r>
          </w:p>
        </w:tc>
        <w:tc>
          <w:tcPr>
            <w:tcW w:w="486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highlight w:val="green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Парад Победы -2019</w:t>
            </w:r>
          </w:p>
        </w:tc>
        <w:tc>
          <w:tcPr>
            <w:tcW w:w="3477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ru-RU"/>
              </w:rPr>
              <w:t>36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 xml:space="preserve"> чел.,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прохождение  парадного расчета в составе войск Тюменского гарнизона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highlight w:val="green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Региональная военно-профессиональная выставка в сфере обороны и безопасности государства “Служим Отечеству”</w:t>
            </w:r>
          </w:p>
        </w:tc>
        <w:tc>
          <w:tcPr>
            <w:tcW w:w="34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 чел.,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участники: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- мастер-классы по основным дисциплинам образовательной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FF0000"/>
                <w:sz w:val="24"/>
                <w:szCs w:val="24"/>
                <w:highlight w:val="green"/>
                <w:vertAlign w:val="baseline"/>
              </w:rPr>
            </w:pPr>
            <w:r>
              <w:rPr>
                <w:rFonts w:hint="default" w:ascii="Times New Roman" w:hAnsi="Times New Roman" w:eastAsia="supermolot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Международная просветительская акция “Геграфический диктант”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15 чел.,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Всероссийская военно-спортивная игра “Победа”</w:t>
            </w:r>
          </w:p>
        </w:tc>
        <w:tc>
          <w:tcPr>
            <w:tcW w:w="34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 чел.,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Noto Sans Armenian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омплексн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ая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экспедици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я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Русского географического общества и Экспедиционного центра Министерства обороны Российской Федерации "Восточный бастион – Курильская гряда"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 чел.,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2020</w:t>
            </w:r>
          </w:p>
        </w:tc>
        <w:tc>
          <w:tcPr>
            <w:tcW w:w="486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highlight w:val="green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Парад Победы - 2020. Акция “Парад у дома ветерана”</w:t>
            </w:r>
          </w:p>
        </w:tc>
        <w:tc>
          <w:tcPr>
            <w:tcW w:w="347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8 чел., Парадный расчет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4" w:type="dxa"/>
            <w:vMerge w:val="continue"/>
            <w:tcBorders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green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Армейские международные игры (АРМИ-2020)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 чел.,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участники: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- мастер-классы по основным дисциплинам образовательной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tcBorders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green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supermolot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Международная просветительская акция “Геграфический диктант”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15 чел.,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tcBorders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486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Всероссийская военно-спортивная игра “Победа”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 чел.,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2021</w:t>
            </w:r>
          </w:p>
        </w:tc>
        <w:tc>
          <w:tcPr>
            <w:tcW w:w="486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Парад Победы -20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ru-RU"/>
              </w:rPr>
              <w:t>36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 xml:space="preserve"> чел.,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</w:rPr>
              <w:t>прохождение  парадного расчета в составе войск Тюменского гарнизона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74" w:type="dxa"/>
            <w:vMerge w:val="continue"/>
            <w:tcBorders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8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green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Армейские международные игры (АРМИ-2020)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 чел., участники: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- мастер-классы по основным дисциплинам образовательной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tcBorders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8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green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supermolot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Международная просветительская акция “Геграфический диктант”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15 чел.,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tcBorders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860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Всероссийская военно-спортивная игра “Победа”</w:t>
            </w:r>
          </w:p>
        </w:tc>
        <w:tc>
          <w:tcPr>
            <w:tcW w:w="3477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 xml:space="preserve"> чел., участие</w:t>
            </w:r>
          </w:p>
        </w:tc>
      </w:tr>
    </w:tbl>
    <w:p>
      <w:pPr>
        <w:rPr>
          <w:color w:val="FF0000"/>
        </w:rPr>
      </w:pPr>
    </w:p>
    <w:p>
      <w:pPr>
        <w:pStyle w:val="5"/>
        <w:spacing w:before="244" w:line="360" w:lineRule="auto"/>
        <w:ind w:left="257" w:right="0" w:rightChars="0" w:firstLine="566"/>
        <w:jc w:val="both"/>
        <w:rPr>
          <w:color w:val="auto"/>
          <w:sz w:val="26"/>
        </w:rPr>
      </w:pPr>
      <w:r>
        <w:rPr>
          <w:color w:val="auto"/>
        </w:rPr>
        <w:t>Таким образом, с 2018-202</w:t>
      </w:r>
      <w:r>
        <w:rPr>
          <w:rFonts w:hint="default"/>
          <w:color w:val="auto"/>
          <w:lang w:val="ru-RU"/>
        </w:rPr>
        <w:t>1</w:t>
      </w:r>
      <w:r>
        <w:rPr>
          <w:color w:val="auto"/>
        </w:rPr>
        <w:t xml:space="preserve"> годы прослеживается положительная динамика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результативности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реализации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дополнительной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общеобразовательной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общеразвивающей</w:t>
      </w:r>
      <w:r>
        <w:rPr>
          <w:color w:val="auto"/>
          <w:spacing w:val="22"/>
        </w:rPr>
        <w:t xml:space="preserve"> </w:t>
      </w:r>
      <w:r>
        <w:rPr>
          <w:color w:val="auto"/>
        </w:rPr>
        <w:t>программы</w:t>
      </w:r>
      <w:r>
        <w:rPr>
          <w:color w:val="auto"/>
          <w:spacing w:val="28"/>
        </w:rPr>
        <w:t xml:space="preserve"> </w:t>
      </w:r>
      <w:r>
        <w:rPr>
          <w:color w:val="auto"/>
        </w:rPr>
        <w:t>социально-педагогической</w:t>
      </w:r>
      <w:r>
        <w:rPr>
          <w:rFonts w:hint="default"/>
          <w:color w:val="auto"/>
          <w:lang w:val="ru-RU"/>
        </w:rPr>
        <w:t>/социально-гуманитарной</w:t>
      </w:r>
      <w:r>
        <w:rPr>
          <w:color w:val="auto"/>
          <w:spacing w:val="22"/>
        </w:rPr>
        <w:t xml:space="preserve"> </w:t>
      </w:r>
      <w:r>
        <w:rPr>
          <w:color w:val="auto"/>
        </w:rPr>
        <w:t>направленности</w:t>
      </w:r>
      <w:r>
        <w:rPr>
          <w:color w:val="auto"/>
          <w:spacing w:val="22"/>
        </w:rPr>
        <w:t xml:space="preserve"> </w:t>
      </w:r>
      <w:r>
        <w:rPr>
          <w:color w:val="auto"/>
        </w:rPr>
        <w:t>«</w:t>
      </w:r>
      <w:r>
        <w:rPr>
          <w:color w:val="auto"/>
          <w:lang w:val="ru-RU"/>
        </w:rPr>
        <w:t>Юнармия</w:t>
      </w:r>
      <w:r>
        <w:rPr>
          <w:color w:val="auto"/>
        </w:rPr>
        <w:t>».</w:t>
      </w:r>
    </w:p>
    <w:p>
      <w:pPr>
        <w:pStyle w:val="5"/>
        <w:spacing w:before="2"/>
        <w:rPr>
          <w:color w:val="000000" w:themeColor="text1" w:themeShade="80"/>
          <w:sz w:val="42"/>
        </w:rPr>
      </w:pPr>
      <w:bookmarkStart w:id="0" w:name="_GoBack"/>
      <w:bookmarkEnd w:id="0"/>
    </w:p>
    <w:p>
      <w:pPr>
        <w:rPr>
          <w:color w:val="000000" w:themeColor="text1" w:themeShade="80"/>
        </w:rPr>
      </w:pP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upermolo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Armenian">
    <w:altName w:val="DejaVu Sans"/>
    <w:panose1 w:val="020B0502040504020204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3DD7"/>
    <w:rsid w:val="145FF1A3"/>
    <w:rsid w:val="1FFB8A2F"/>
    <w:rsid w:val="27E3D703"/>
    <w:rsid w:val="2B9F4531"/>
    <w:rsid w:val="2F97495A"/>
    <w:rsid w:val="37FF3FBD"/>
    <w:rsid w:val="3C7D8653"/>
    <w:rsid w:val="3DB7C117"/>
    <w:rsid w:val="3FFF188D"/>
    <w:rsid w:val="4F57EB6D"/>
    <w:rsid w:val="4FF9195E"/>
    <w:rsid w:val="5979204B"/>
    <w:rsid w:val="5FEC8352"/>
    <w:rsid w:val="671B5A05"/>
    <w:rsid w:val="6FB7BE6A"/>
    <w:rsid w:val="75FF6031"/>
    <w:rsid w:val="77FFB0F6"/>
    <w:rsid w:val="7A5E84FC"/>
    <w:rsid w:val="7B90B56C"/>
    <w:rsid w:val="7BBF2C16"/>
    <w:rsid w:val="7C8E34D0"/>
    <w:rsid w:val="7DAE9178"/>
    <w:rsid w:val="7DCF82A0"/>
    <w:rsid w:val="7F5B8A06"/>
    <w:rsid w:val="7FDAD6E5"/>
    <w:rsid w:val="7FFD22BB"/>
    <w:rsid w:val="8CFFD411"/>
    <w:rsid w:val="97D91ABF"/>
    <w:rsid w:val="AFCA68D8"/>
    <w:rsid w:val="B6EB314A"/>
    <w:rsid w:val="BC7496D0"/>
    <w:rsid w:val="BEEFFE47"/>
    <w:rsid w:val="BF6D0D94"/>
    <w:rsid w:val="BFF995F3"/>
    <w:rsid w:val="BFFE00AB"/>
    <w:rsid w:val="C77F8CDB"/>
    <w:rsid w:val="DBFF5822"/>
    <w:rsid w:val="EB77031A"/>
    <w:rsid w:val="EDEBD87B"/>
    <w:rsid w:val="EE6EE4C8"/>
    <w:rsid w:val="EEBFAFAA"/>
    <w:rsid w:val="EFCDDAC7"/>
    <w:rsid w:val="FBFF1504"/>
    <w:rsid w:val="FBFF3DD7"/>
    <w:rsid w:val="FD7DD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3"/>
      <w:ind w:left="29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styleId="6">
    <w:name w:val="Emphasis"/>
    <w:basedOn w:val="3"/>
    <w:qFormat/>
    <w:uiPriority w:val="0"/>
    <w:rPr>
      <w:i/>
      <w:iCs/>
    </w:rPr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9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ind w:left="131"/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11">
    <w:name w:val="List Paragraph"/>
    <w:basedOn w:val="1"/>
    <w:qFormat/>
    <w:uiPriority w:val="1"/>
    <w:pPr>
      <w:ind w:left="257" w:firstLine="56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ru-RU"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en-US" altLang="ru-RU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Уровни освоения </a:t>
            </a:r>
            <a:r>
              <a:rPr lang="en-US" altLang="en-US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образовательной </a:t>
            </a:r>
            <a:r>
              <a:rPr lang="en-US" altLang="ru-RU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программ</a:t>
            </a:r>
            <a:r>
              <a:rPr lang="en-US" altLang="en-US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rPr>
              <a:t>ы</a:t>
            </a:r>
            <a:endParaRPr lang="en-US" altLang="en-US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endParaRP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barChart>
        <c:barDir val="col"/>
        <c:grouping val="clustered"/>
        <c:varyColors val="false"/>
        <c:ser>
          <c:idx val="0"/>
          <c:order val="0"/>
          <c:tx>
            <c:strRef>
              <c:f>Sheet1!$B$1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66.7</c:v>
                </c:pt>
                <c:pt idx="1">
                  <c:v>77.8</c:v>
                </c:pt>
                <c:pt idx="2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33.3</c:v>
                </c:pt>
                <c:pt idx="1">
                  <c:v>22.2</c:v>
                </c:pt>
                <c:pt idx="2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ru-RU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fals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</c:dLbls>
        <c:gapWidth val="219"/>
        <c:overlap val="-27"/>
        <c:axId val="452993667"/>
        <c:axId val="322662697"/>
      </c:barChart>
      <c:catAx>
        <c:axId val="452993667"/>
        <c:scaling>
          <c:orientation val="minMax"/>
        </c:scaling>
        <c:delete val="false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322662697"/>
        <c:crosses val="autoZero"/>
        <c:auto val="true"/>
        <c:lblAlgn val="ctr"/>
        <c:lblOffset val="100"/>
        <c:noMultiLvlLbl val="false"/>
      </c:catAx>
      <c:valAx>
        <c:axId val="322662697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4529936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true"/>
          <a:lstStyle/>
          <a:p>
            <a:pPr>
              <a:defRPr lang="ru-RU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</c:legendEntry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ru-RU" sz="900" b="0" i="0" u="none" strike="noStrike" kern="1200" baseline="0">
              <a:solidFill>
                <a:sysClr val="windowText" lastClr="000000"/>
              </a:solidFill>
              <a:latin typeface="Times New Roman" panose="02020603050405020304" charset="0"/>
              <a:ea typeface="Times New Roman" panose="02020603050405020304" charset="0"/>
              <a:cs typeface="Times New Roman" panose="02020603050405020304" charset="0"/>
              <a:sym typeface="Times New Roman" panose="02020603050405020304" charset="0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>
          <a:solidFill>
            <a:sysClr val="windowText" lastClr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2021-04-03T13:56:00Z</dcterms:created>
  <dc:creator>shesnok</dc:creator>
  <cp:lastModifiedBy>vadik</cp:lastModifiedBy>
  <cp:lastPrinted>2021-04-05T21:27:00Z</cp:lastPrinted>
  <dcterms:modified xsi:type="dcterms:W3CDTF">2022-11-29T16:04:49Z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